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WORK PACKAGE SUPPORTING DOCUMENTS</w:t>
      </w:r>
    </w:p>
    <w:p>
      <w:pPr>
        <w:jc w:val="center"/>
      </w:pPr>
      <w:r>
        <w:rPr>
          <w:rFonts w:ascii="Aptos" w:hAnsi="Aptos"/>
          <w:b/>
          <w:color w:val="F2A51A"/>
          <w:sz w:val="26"/>
        </w:rPr>
        <w:t>MS-TPL-007 — Trenchless-Pipeline Annulus Grouting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Project</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project name]</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Document No.</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MS-TPL-007-WP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Contractor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contractor]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Revision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Location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location]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Date</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Prepared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Approved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r>
    </w:tbl>
    <w:p>
      <w:pPr>
        <w:keepLines/>
        <w:spacing w:after="80" w:line="269" w:lineRule="auto"/>
      </w:pPr>
      <w:r>
        <w:rPr>
          <w:rFonts w:ascii="Aptos" w:hAnsi="Aptos"/>
          <w:b w:val="0"/>
          <w:color w:val="263442"/>
          <w:sz w:val="19"/>
        </w:rPr>
        <w:t>This editable workbook must be adapted to the contract, approved drawings, project specification, actual site conditions, materials, equipment and authority requirements.</w:t>
      </w:r>
    </w:p>
    <w:p>
      <w:r>
        <w:br w:type="page"/>
      </w:r>
    </w:p>
    <w:p>
      <w:pPr>
        <w:pStyle w:val="Heading1"/>
        <w:keepNext/>
        <w:spacing w:before="240" w:after="100"/>
      </w:pPr>
      <w:r>
        <w:rPr>
          <w:rFonts w:ascii="Aptos" w:hAnsi="Aptos"/>
          <w:b/>
          <w:color w:val="071E33"/>
          <w:sz w:val="28"/>
        </w:rPr>
        <w:t>1. Inspection and Test Plan (ITP)</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Inspection / Test</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Acceptance Criteria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Responsibility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Approve grout type, annulus volume, bulkheads, stages, pressure limits, vents and contingency plan.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Grouting plan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Survey the pipeline, seal entries and joints and install injection and vent points at verified elevations.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Seals and vents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Batch grout to the approved density, flow and bleed criteria and confirm calibrated pressure monitoring.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Grout tests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Inject from low points in controlled stages while observing vents, pipe movement, pressure and theoretical take.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Injection pressure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Close vents only after consistent grout discharge and stop before pipe or ground pressure limits are exceeded.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Vent closure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Top up after settlement where required and compile batch, volume, pressure, vent and completion records.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Volume and records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bl>
    <w:p>
      <w:r>
        <w:br w:type="page"/>
      </w:r>
    </w:p>
    <w:p>
      <w:pPr>
        <w:pStyle w:val="Heading1"/>
        <w:keepNext/>
        <w:spacing w:before="240" w:after="100"/>
      </w:pPr>
      <w:r>
        <w:rPr>
          <w:rFonts w:ascii="Aptos" w:hAnsi="Aptos"/>
          <w:b/>
          <w:color w:val="071E33"/>
          <w:sz w:val="28"/>
        </w:rPr>
        <w:t>2. HIRARC</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grout type, annulus volume, bulkheads, stages, pressure limits, vents and contingency plan.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Grout pressure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Survey the pipeline, seal entries and joints and install injection and vent points at verified elevations.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Batch grout to the approved density, flow and bleed criteria and confirm calibrated pressure monitoring.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Bulkhead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Inject from low points in controlled stages while observing vents, pipe movement, pressure and theoretical take.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Cement contact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Close vents only after consistent grout discharge and stop before pipe or ground pressure limits are exceeded.</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Uncontrolled discharge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3. Job Safety Analysis (JSA)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grout type, annulus volume, bulkheads, stages, pressure limits, vents and contingency plan.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Grout pressure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Survey the pipeline, seal entries and joints and install injection and vent points at verified elevations.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Batch grout to the approved density, flow and bleed criteria and confirm calibrated pressure monitoring.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Bulkhead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Inject from low points in controlled stages while observing vents, pipe movement, pressure and theoretical take.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Cement contact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Close vents only after consistent grout discharge and stop before pipe or ground pressure limits are exceeded.</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Uncontrolled discharge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4. Inspection Checklist</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Inspection Item</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What Must Be Checked</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Remarks / Evidence</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Grouting plan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grouting plan at every completed location. Confirm the approved type and detail, surface preparation, dimensions, spacing, embedment or engagement, tightening or curing, finish and required test record before the connection is concealed or loaded.</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Seals and vents</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seals and vents at every completed location. Confirm the approved type and detail, surface preparation, dimensions, spacing, embedment or engagement, tightening or curing, finish and required test record before the connection is concealed or loaded.</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Grout tests</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Confirm the test for grout tests uses the approved procedure, calibrated equipment, specified sampling location and required frequency. Record the measured result, acceptance limit, certificate number, witness or hold-point release and disposition of any failure.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Injection pressure</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test for injection pressure uses the approved procedure, calibrated equipment, specified sampling location and required frequency. Record the measured result, acceptance limit, certificate number, witness or hold-point release and disposition of any failure.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Vent closure</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vent closure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Volume and records</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volume and records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Work area released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work area released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Final protection and handover</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final protection and handover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Material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Cementitious or cellular grout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or analysis, batch number and shelf life; retain the safety data sheet, delivery docket and specified test results.</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admixtures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Vent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mill or manufacturer's certificate, grade and batch or heat number, product certification and required independent test report; verify traceability to the installed location.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bulkheads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Washout water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Plant &amp; Machinery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Colloidal mixer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Grout pump</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the calibration or verification certificate matches the serial number, measurement range and accuracy required. Record calibration date, due date and pre-use functional check.</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Pressure and flow gauges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the calibration or verification certificate matches the serial number, measurement range and accuracy required. Record calibration date, due date and pre-use functional check.</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Density and bleed-test equipment</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the calibration or verification certificate matches the serial number, measurement range and accuracy required. Record calibration date, due date and pre-use functional check.</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Communication radios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Manpower Requirement</w:t>
      </w:r>
    </w:p>
    <w:p>
      <w:pPr>
        <w:pStyle w:val="ListBullet"/>
        <w:spacing w:after="50"/>
        <w:ind w:left="369" w:hanging="170"/>
      </w:pPr>
      <w:r>
        <w:rPr>
          <w:rFonts w:ascii="Aptos" w:hAnsi="Aptos"/>
          <w:b w:val="0"/>
          <w:color w:val="263442"/>
          <w:sz w:val="19"/>
        </w:rPr>
        <w:t>Project Manager</w:t>
      </w:r>
    </w:p>
    <w:p>
      <w:pPr>
        <w:pStyle w:val="ListBullet"/>
        <w:spacing w:after="50"/>
        <w:ind w:left="369" w:hanging="170"/>
      </w:pPr>
      <w:r>
        <w:rPr>
          <w:rFonts w:ascii="Aptos" w:hAnsi="Aptos"/>
          <w:b w:val="0"/>
          <w:color w:val="263442"/>
          <w:sz w:val="19"/>
        </w:rPr>
        <w:t>Site Engineer</w:t>
      </w:r>
    </w:p>
    <w:p>
      <w:pPr>
        <w:pStyle w:val="ListBullet"/>
        <w:spacing w:after="50"/>
        <w:ind w:left="369" w:hanging="170"/>
      </w:pPr>
      <w:r>
        <w:rPr>
          <w:rFonts w:ascii="Aptos" w:hAnsi="Aptos"/>
          <w:b w:val="0"/>
          <w:color w:val="263442"/>
          <w:sz w:val="19"/>
        </w:rPr>
        <w:t>QA/QC Engineer</w:t>
      </w:r>
    </w:p>
    <w:p>
      <w:pPr>
        <w:pStyle w:val="ListBullet"/>
        <w:spacing w:after="50"/>
        <w:ind w:left="369" w:hanging="170"/>
      </w:pPr>
      <w:r>
        <w:rPr>
          <w:rFonts w:ascii="Aptos" w:hAnsi="Aptos"/>
          <w:b w:val="0"/>
          <w:color w:val="263442"/>
          <w:sz w:val="19"/>
        </w:rPr>
        <w:t>Safety and Health Officer</w:t>
      </w:r>
    </w:p>
    <w:p>
      <w:pPr>
        <w:pStyle w:val="ListBullet"/>
        <w:spacing w:after="50"/>
        <w:ind w:left="369" w:hanging="170"/>
      </w:pPr>
      <w:r>
        <w:rPr>
          <w:rFonts w:ascii="Aptos" w:hAnsi="Aptos"/>
          <w:b w:val="0"/>
          <w:color w:val="263442"/>
          <w:sz w:val="19"/>
        </w:rPr>
        <w:t>Supervisor</w:t>
      </w:r>
    </w:p>
    <w:p>
      <w:pPr>
        <w:pStyle w:val="ListBullet"/>
        <w:spacing w:after="50"/>
        <w:ind w:left="369" w:hanging="170"/>
      </w:pPr>
      <w:r>
        <w:rPr>
          <w:rFonts w:ascii="Aptos" w:hAnsi="Aptos"/>
          <w:b w:val="0"/>
          <w:color w:val="263442"/>
          <w:sz w:val="19"/>
        </w:rPr>
        <w:t>Skilled workers / operators</w:t>
      </w:r>
    </w:p>
    <w:p>
      <w:pPr>
        <w:pStyle w:val="ListBullet"/>
        <w:spacing w:after="50"/>
        <w:ind w:left="369" w:hanging="170"/>
      </w:pPr>
      <w:r>
        <w:rPr>
          <w:rFonts w:ascii="Aptos" w:hAnsi="Aptos"/>
          <w:b w:val="0"/>
          <w:color w:val="263442"/>
          <w:sz w:val="19"/>
        </w:rPr>
        <w:t>General workers</w:t>
      </w:r>
    </w:p>
    <w:p>
      <w:r>
        <w:br w:type="page"/>
      </w:r>
    </w:p>
    <w:p>
      <w:pPr>
        <w:pStyle w:val="Heading1"/>
        <w:keepNext/>
        <w:spacing w:before="240" w:after="100"/>
      </w:pPr>
      <w:r>
        <w:rPr>
          <w:rFonts w:ascii="Aptos" w:hAnsi="Aptos"/>
          <w:b/>
          <w:color w:val="071E33"/>
          <w:sz w:val="28"/>
        </w:rPr>
        <w:t>8. Required PPE</w:t>
      </w:r>
    </w:p>
    <w:p>
      <w:pPr>
        <w:pStyle w:val="ListBullet"/>
        <w:spacing w:after="50"/>
        <w:ind w:left="369" w:hanging="170"/>
      </w:pPr>
      <w:r>
        <w:rPr>
          <w:rFonts w:ascii="Aptos" w:hAnsi="Aptos"/>
          <w:b w:val="0"/>
          <w:color w:val="263442"/>
          <w:sz w:val="19"/>
        </w:rPr>
        <w:t>Safety helmet</w:t>
      </w:r>
    </w:p>
    <w:p>
      <w:pPr>
        <w:pStyle w:val="ListBullet"/>
        <w:spacing w:after="50"/>
        <w:ind w:left="369" w:hanging="170"/>
      </w:pPr>
      <w:r>
        <w:rPr>
          <w:rFonts w:ascii="Aptos" w:hAnsi="Aptos"/>
          <w:b w:val="0"/>
          <w:color w:val="263442"/>
          <w:sz w:val="19"/>
        </w:rPr>
        <w:t>Safety footwear</w:t>
      </w:r>
    </w:p>
    <w:p>
      <w:pPr>
        <w:pStyle w:val="ListBullet"/>
        <w:spacing w:after="50"/>
        <w:ind w:left="369" w:hanging="170"/>
      </w:pPr>
      <w:r>
        <w:rPr>
          <w:rFonts w:ascii="Aptos" w:hAnsi="Aptos"/>
          <w:b w:val="0"/>
          <w:color w:val="263442"/>
          <w:sz w:val="19"/>
        </w:rPr>
        <w:t>High-visibility vest</w:t>
      </w:r>
    </w:p>
    <w:p>
      <w:pPr>
        <w:pStyle w:val="ListBullet"/>
        <w:spacing w:after="50"/>
        <w:ind w:left="369" w:hanging="170"/>
      </w:pPr>
      <w:r>
        <w:rPr>
          <w:rFonts w:ascii="Aptos" w:hAnsi="Aptos"/>
          <w:b w:val="0"/>
          <w:color w:val="263442"/>
          <w:sz w:val="19"/>
        </w:rPr>
        <w:t>Safety gloves</w:t>
      </w:r>
    </w:p>
    <w:p>
      <w:pPr>
        <w:pStyle w:val="ListBullet"/>
        <w:spacing w:after="50"/>
        <w:ind w:left="369" w:hanging="170"/>
      </w:pPr>
      <w:r>
        <w:rPr>
          <w:rFonts w:ascii="Aptos" w:hAnsi="Aptos"/>
          <w:b w:val="0"/>
          <w:color w:val="263442"/>
          <w:sz w:val="19"/>
        </w:rPr>
        <w:t>Eye protection</w:t>
      </w:r>
    </w:p>
    <w:p>
      <w:pPr>
        <w:pStyle w:val="ListBullet"/>
        <w:spacing w:after="50"/>
        <w:ind w:left="369" w:hanging="170"/>
      </w:pPr>
      <w:r>
        <w:rPr>
          <w:rFonts w:ascii="Aptos" w:hAnsi="Aptos"/>
          <w:b w:val="0"/>
          <w:color w:val="263442"/>
          <w:sz w:val="19"/>
        </w:rPr>
        <w:t>Hearing / respiratory / fall protection where required</w:t>
      </w:r>
    </w:p>
    <w:p>
      <w:r>
        <w:br w:type="page"/>
      </w:r>
    </w:p>
    <w:p>
      <w:pPr>
        <w:pStyle w:val="Heading1"/>
        <w:keepNext/>
        <w:spacing w:before="240" w:after="100"/>
      </w:pPr>
      <w:r>
        <w:rPr>
          <w:rFonts w:ascii="Aptos" w:hAnsi="Aptos"/>
          <w:b/>
          <w:color w:val="071E33"/>
          <w:sz w:val="28"/>
        </w:rPr>
        <w:t>9. Required Permits</w:t>
      </w:r>
    </w:p>
    <w:p>
      <w:pPr>
        <w:pStyle w:val="ListBullet"/>
        <w:spacing w:after="50"/>
        <w:ind w:left="369" w:hanging="170"/>
      </w:pPr>
      <w:r>
        <w:rPr>
          <w:rFonts w:ascii="Aptos" w:hAnsi="Aptos"/>
          <w:b w:val="0"/>
          <w:color w:val="263442"/>
          <w:sz w:val="19"/>
        </w:rPr>
        <w:t>Permit to work</w:t>
      </w:r>
    </w:p>
    <w:p>
      <w:pPr>
        <w:pStyle w:val="ListBullet"/>
        <w:spacing w:after="50"/>
        <w:ind w:left="369" w:hanging="170"/>
      </w:pPr>
      <w:r>
        <w:rPr>
          <w:rFonts w:ascii="Aptos" w:hAnsi="Aptos"/>
          <w:b w:val="0"/>
          <w:color w:val="263442"/>
          <w:sz w:val="19"/>
        </w:rPr>
        <w:t>Work-front release</w:t>
      </w:r>
    </w:p>
    <w:p>
      <w:pPr>
        <w:pStyle w:val="ListBullet"/>
        <w:spacing w:after="50"/>
        <w:ind w:left="369" w:hanging="170"/>
      </w:pPr>
      <w:r>
        <w:rPr>
          <w:rFonts w:ascii="Aptos" w:hAnsi="Aptos"/>
          <w:b w:val="0"/>
          <w:color w:val="263442"/>
          <w:sz w:val="19"/>
        </w:rPr>
        <w:t>Lifting permit where applicable</w:t>
      </w:r>
    </w:p>
    <w:p>
      <w:pPr>
        <w:pStyle w:val="ListBullet"/>
        <w:spacing w:after="50"/>
        <w:ind w:left="369" w:hanging="170"/>
      </w:pPr>
      <w:r>
        <w:rPr>
          <w:rFonts w:ascii="Aptos" w:hAnsi="Aptos"/>
          <w:b w:val="0"/>
          <w:color w:val="263442"/>
          <w:sz w:val="19"/>
        </w:rPr>
        <w:t>Excavation / hot-work / confined-space permit where applicable</w:t>
      </w:r>
    </w:p>
    <w:p>
      <w:pPr>
        <w:pStyle w:val="ListBullet"/>
        <w:spacing w:after="50"/>
        <w:ind w:left="369" w:hanging="170"/>
      </w:pPr>
      <w:r>
        <w:rPr>
          <w:rFonts w:ascii="Aptos" w:hAnsi="Aptos"/>
          <w:b w:val="0"/>
          <w:color w:val="263442"/>
          <w:sz w:val="19"/>
        </w:rPr>
        <w:t>Inspection release before covering</w:t>
      </w:r>
    </w:p>
    <w:p>
      <w:r>
        <w:br w:type="page"/>
      </w:r>
    </w:p>
    <w:p>
      <w:pPr>
        <w:pStyle w:val="Heading1"/>
        <w:keepNext/>
        <w:spacing w:before="240" w:after="100"/>
      </w:pPr>
      <w:r>
        <w:rPr>
          <w:rFonts w:ascii="Aptos" w:hAnsi="Aptos"/>
          <w:b/>
          <w:color w:val="071E33"/>
          <w:sz w:val="28"/>
        </w:rPr>
        <w:t>10. Applicable Standards</w:t>
      </w:r>
    </w:p>
    <w:p>
      <w:pPr>
        <w:pStyle w:val="ListBullet"/>
        <w:spacing w:after="50"/>
        <w:ind w:left="369" w:hanging="170"/>
      </w:pPr>
      <w:r>
        <w:rPr>
          <w:rFonts w:ascii="Aptos" w:hAnsi="Aptos"/>
          <w:b w:val="0"/>
          <w:color w:val="263442"/>
          <w:sz w:val="19"/>
        </w:rPr>
        <w:t>Contract documents and project specification</w:t>
      </w:r>
    </w:p>
    <w:p>
      <w:pPr>
        <w:pStyle w:val="ListBullet"/>
        <w:spacing w:after="50"/>
        <w:ind w:left="369" w:hanging="170"/>
      </w:pPr>
      <w:r>
        <w:rPr>
          <w:rFonts w:ascii="Aptos" w:hAnsi="Aptos"/>
          <w:b w:val="0"/>
          <w:color w:val="263442"/>
          <w:sz w:val="19"/>
        </w:rPr>
        <w:t>Approved drawings and coordinated shop drawings</w:t>
      </w:r>
    </w:p>
    <w:p>
      <w:pPr>
        <w:pStyle w:val="ListBullet"/>
        <w:spacing w:after="50"/>
        <w:ind w:left="369" w:hanging="170"/>
      </w:pPr>
      <w:r>
        <w:rPr>
          <w:rFonts w:ascii="Aptos" w:hAnsi="Aptos"/>
          <w:b w:val="0"/>
          <w:color w:val="263442"/>
          <w:sz w:val="19"/>
        </w:rPr>
        <w:t>Approved material submissions and manufacturer instructions</w:t>
      </w:r>
    </w:p>
    <w:p>
      <w:pPr>
        <w:pStyle w:val="ListBullet"/>
        <w:spacing w:after="50"/>
        <w:ind w:left="369" w:hanging="170"/>
      </w:pPr>
      <w:r>
        <w:rPr>
          <w:rFonts w:ascii="Aptos" w:hAnsi="Aptos"/>
          <w:b w:val="0"/>
          <w:color w:val="263442"/>
          <w:sz w:val="19"/>
        </w:rPr>
        <w:t>Applicable Malaysian law and authority requirements</w:t>
      </w:r>
    </w:p>
    <w:p>
      <w:pPr>
        <w:pStyle w:val="ListBullet"/>
        <w:spacing w:after="50"/>
        <w:ind w:left="369" w:hanging="170"/>
      </w:pPr>
      <w:r>
        <w:rPr>
          <w:rFonts w:ascii="Aptos" w:hAnsi="Aptos"/>
          <w:b w:val="0"/>
          <w:color w:val="263442"/>
          <w:sz w:val="19"/>
        </w:rPr>
        <w:t>Applicable JKR specification where contractually required</w:t>
      </w:r>
    </w:p>
    <w:p>
      <w:pPr>
        <w:pStyle w:val="ListBullet"/>
        <w:spacing w:after="50"/>
        <w:ind w:left="369" w:hanging="170"/>
      </w:pPr>
      <w:r>
        <w:rPr>
          <w:rFonts w:ascii="Aptos" w:hAnsi="Aptos"/>
          <w:b w:val="0"/>
          <w:color w:val="263442"/>
          <w:sz w:val="19"/>
        </w:rPr>
        <w:t>Current project-approved MS/BS/EN/ISO standards</w:t>
      </w:r>
    </w:p>
    <w:p>
      <w:r>
        <w:br w:type="page"/>
      </w:r>
    </w:p>
    <w:p>
      <w:pPr>
        <w:pStyle w:val="Heading1"/>
        <w:keepNext/>
        <w:spacing w:before="240" w:after="100"/>
      </w:pPr>
      <w:r>
        <w:rPr>
          <w:rFonts w:ascii="Aptos" w:hAnsi="Aptos"/>
          <w:b/>
          <w:color w:val="071E33"/>
          <w:sz w:val="28"/>
        </w:rPr>
        <w:t>11. Inspection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Testing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Reference Drawings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Document Register</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PACKAGE SUPPORTING DOCUMENTS — Trenchless-Pipeline Annulus Grouting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